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4F78B" w14:textId="2F892693" w:rsidR="005D2F9A" w:rsidRPr="001146E3" w:rsidRDefault="001146E3" w:rsidP="001146E3">
      <w:pPr>
        <w:pStyle w:val="NoSpacing"/>
        <w:jc w:val="center"/>
        <w:rPr>
          <w:b/>
          <w:bCs/>
        </w:rPr>
      </w:pPr>
      <w:r w:rsidRPr="001146E3">
        <w:rPr>
          <w:b/>
          <w:bCs/>
        </w:rPr>
        <w:t>Mount Vernon – Rockcastle County Tourist Commission</w:t>
      </w:r>
      <w:r w:rsidRPr="001146E3">
        <w:rPr>
          <w:b/>
          <w:bCs/>
        </w:rPr>
        <w:br/>
        <w:t>Monthly Return on Transient Room Tax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1146E3" w14:paraId="6CBD095A" w14:textId="77777777" w:rsidTr="001146E3">
        <w:tc>
          <w:tcPr>
            <w:tcW w:w="5395" w:type="dxa"/>
          </w:tcPr>
          <w:p w14:paraId="79A3C5BA" w14:textId="3B4559E7" w:rsidR="001146E3" w:rsidRDefault="001146E3" w:rsidP="001146E3">
            <w:pPr>
              <w:pStyle w:val="NoSpacing"/>
            </w:pPr>
            <w:r>
              <w:t>Name of Property:</w:t>
            </w:r>
          </w:p>
        </w:tc>
        <w:tc>
          <w:tcPr>
            <w:tcW w:w="5395" w:type="dxa"/>
          </w:tcPr>
          <w:p w14:paraId="1AE560BE" w14:textId="348B4063" w:rsidR="001146E3" w:rsidRDefault="001146E3" w:rsidP="001146E3">
            <w:pPr>
              <w:pStyle w:val="NoSpacing"/>
            </w:pPr>
            <w:r>
              <w:t>Month Ending                                         Year</w:t>
            </w:r>
          </w:p>
        </w:tc>
      </w:tr>
      <w:tr w:rsidR="00121BCC" w14:paraId="106F1ED5" w14:textId="77777777" w:rsidTr="00AE7257">
        <w:tc>
          <w:tcPr>
            <w:tcW w:w="10790" w:type="dxa"/>
            <w:gridSpan w:val="2"/>
          </w:tcPr>
          <w:p w14:paraId="0CD632FF" w14:textId="11378A50" w:rsidR="00121BCC" w:rsidRDefault="00121BCC" w:rsidP="001146E3">
            <w:pPr>
              <w:pStyle w:val="NoSpacing"/>
            </w:pPr>
            <w:r>
              <w:t>Owner’s Name</w:t>
            </w:r>
          </w:p>
        </w:tc>
      </w:tr>
      <w:tr w:rsidR="001146E3" w14:paraId="76AAB078" w14:textId="77777777" w:rsidTr="001146E3">
        <w:tc>
          <w:tcPr>
            <w:tcW w:w="5395" w:type="dxa"/>
          </w:tcPr>
          <w:p w14:paraId="114B61CA" w14:textId="18FCEFC3" w:rsidR="001146E3" w:rsidRDefault="001146E3" w:rsidP="001146E3">
            <w:pPr>
              <w:pStyle w:val="NoSpacing"/>
            </w:pPr>
            <w:r>
              <w:t>Mailing Address</w:t>
            </w:r>
          </w:p>
        </w:tc>
        <w:tc>
          <w:tcPr>
            <w:tcW w:w="5395" w:type="dxa"/>
          </w:tcPr>
          <w:p w14:paraId="31D069D2" w14:textId="328D627F" w:rsidR="001146E3" w:rsidRDefault="001146E3" w:rsidP="001146E3">
            <w:pPr>
              <w:pStyle w:val="NoSpacing"/>
            </w:pPr>
            <w:r>
              <w:t>Property Address</w:t>
            </w:r>
          </w:p>
          <w:p w14:paraId="13F344FF" w14:textId="77777777" w:rsidR="001146E3" w:rsidRDefault="001146E3" w:rsidP="001146E3">
            <w:pPr>
              <w:pStyle w:val="NoSpacing"/>
            </w:pPr>
          </w:p>
        </w:tc>
      </w:tr>
    </w:tbl>
    <w:p w14:paraId="500410AE" w14:textId="1B2DD75F" w:rsidR="001146E3" w:rsidRDefault="001146E3" w:rsidP="001146E3">
      <w:pPr>
        <w:pStyle w:val="NoSpacing"/>
        <w:numPr>
          <w:ilvl w:val="0"/>
          <w:numId w:val="2"/>
        </w:numPr>
      </w:pPr>
      <w:r>
        <w:t>All properties must file a return each month, even if no tax is due.</w:t>
      </w:r>
    </w:p>
    <w:p w14:paraId="0F8F6B26" w14:textId="27167308" w:rsidR="001146E3" w:rsidRDefault="001146E3" w:rsidP="001146E3">
      <w:pPr>
        <w:pStyle w:val="NoSpacing"/>
        <w:numPr>
          <w:ilvl w:val="0"/>
          <w:numId w:val="2"/>
        </w:numPr>
      </w:pPr>
      <w:r>
        <w:t>Each room or camp spot is filled is subject to 3% transient room tax. There are NO exemptions except for extended stays over 29 days.</w:t>
      </w:r>
    </w:p>
    <w:p w14:paraId="147F247A" w14:textId="49904644" w:rsidR="001146E3" w:rsidRDefault="001146E3" w:rsidP="001146E3">
      <w:pPr>
        <w:pStyle w:val="NoSpacing"/>
        <w:numPr>
          <w:ilvl w:val="0"/>
          <w:numId w:val="2"/>
        </w:numPr>
      </w:pPr>
      <w:r>
        <w:t>Returns are due monthly on or before the 20</w:t>
      </w:r>
      <w:r w:rsidRPr="001146E3">
        <w:rPr>
          <w:vertAlign w:val="superscript"/>
        </w:rPr>
        <w:t>th</w:t>
      </w:r>
      <w:r>
        <w:t xml:space="preserve"> of the month following the month in which the tax is collected.</w:t>
      </w:r>
      <w:r w:rsidR="00EC320A">
        <w:t xml:space="preserve"> There is a $25 returned check fee.</w:t>
      </w:r>
    </w:p>
    <w:p w14:paraId="13328C2E" w14:textId="794553A5" w:rsidR="001146E3" w:rsidRDefault="001146E3" w:rsidP="001146E3">
      <w:pPr>
        <w:pStyle w:val="NoSpacing"/>
        <w:numPr>
          <w:ilvl w:val="0"/>
          <w:numId w:val="2"/>
        </w:numPr>
      </w:pPr>
      <w:r>
        <w:t xml:space="preserve">Any changes in ownership or address should be reported to the </w:t>
      </w:r>
      <w:r w:rsidR="00A17B63">
        <w:t>Mt.</w:t>
      </w:r>
      <w:r>
        <w:t xml:space="preserve"> Vernon – Rockcastle County Tourist Commission immediately.</w:t>
      </w:r>
    </w:p>
    <w:p w14:paraId="6BB7FCB7" w14:textId="74A7F525" w:rsidR="001146E3" w:rsidRDefault="001146E3" w:rsidP="001146E3">
      <w:pPr>
        <w:pStyle w:val="NoSpacing"/>
        <w:numPr>
          <w:ilvl w:val="0"/>
          <w:numId w:val="2"/>
        </w:numPr>
      </w:pPr>
      <w:r>
        <w:t xml:space="preserve">Returns received after the due date will be assessed a penalty of </w:t>
      </w:r>
      <w:r w:rsidR="00904959">
        <w:t>10%</w:t>
      </w:r>
      <w:r>
        <w:t xml:space="preserve"> of the amount due plus </w:t>
      </w:r>
      <w:r w:rsidR="00904959">
        <w:t xml:space="preserve">8% interest </w:t>
      </w:r>
      <w:r>
        <w:t xml:space="preserve">for each month of delinquency or portion </w:t>
      </w:r>
      <w:r w:rsidR="00C6219F">
        <w:t>thereof</w:t>
      </w:r>
      <w:r>
        <w:t>.</w:t>
      </w:r>
    </w:p>
    <w:p w14:paraId="1CDC9380" w14:textId="4C41F86C" w:rsidR="001146E3" w:rsidRDefault="001146E3" w:rsidP="001146E3">
      <w:pPr>
        <w:pStyle w:val="NoSpacing"/>
        <w:numPr>
          <w:ilvl w:val="0"/>
          <w:numId w:val="2"/>
        </w:numPr>
      </w:pPr>
      <w:r>
        <w:t xml:space="preserve">If payment is not received within 30 days of due date, the </w:t>
      </w:r>
      <w:r>
        <w:t>Mount Vernon – Rockcastle County Tourist Commission</w:t>
      </w:r>
      <w:r>
        <w:t xml:space="preserve"> will take appropriate action to collect the amount past due including all penalties and interest. </w:t>
      </w:r>
    </w:p>
    <w:p w14:paraId="5DD31EB9" w14:textId="03CD048F" w:rsidR="001146E3" w:rsidRDefault="001146E3" w:rsidP="001146E3">
      <w:pPr>
        <w:pStyle w:val="NoSpacing"/>
        <w:numPr>
          <w:ilvl w:val="0"/>
          <w:numId w:val="2"/>
        </w:numPr>
      </w:pPr>
      <w:r>
        <w:t xml:space="preserve">Under Kentucky House Bill 8, effective January 1, 2023, Short Term Rental (STR) platforms are responsible for collecting and </w:t>
      </w:r>
      <w:r w:rsidR="00904959">
        <w:t>remitting</w:t>
      </w:r>
      <w:r>
        <w:t xml:space="preserve"> the 3% local tax. However, Airbnb has not complied with this requirement. If you use Airbnb, you are responsible for collecting and </w:t>
      </w:r>
      <w:r w:rsidR="00904959">
        <w:t>remitting</w:t>
      </w:r>
      <w:r>
        <w:t xml:space="preserve"> the 3% tax directly to </w:t>
      </w:r>
      <w:r>
        <w:t>Mount Vernon – Rockcastle County Tourist Commission</w:t>
      </w:r>
      <w:r>
        <w:t>. If you use other platforms, you must still submit a monthly report indicating which platform you use and the expected amount that platform will remit on your behalf.</w:t>
      </w:r>
    </w:p>
    <w:p w14:paraId="4E24021E" w14:textId="7D5371EB" w:rsidR="001146E3" w:rsidRDefault="00A17B63" w:rsidP="001146E3">
      <w:pPr>
        <w:pStyle w:val="NoSpacing"/>
        <w:numPr>
          <w:ilvl w:val="0"/>
          <w:numId w:val="2"/>
        </w:numPr>
      </w:pPr>
      <w:r>
        <w:t xml:space="preserve">Payment is by check only payable to </w:t>
      </w:r>
      <w:r>
        <w:t>Mt. Vernon – Rockcastle County Tourist Commission</w:t>
      </w:r>
      <w:r>
        <w:t xml:space="preserve"> and sent to PO BOX 1467, Mt. Vernon, KY 40456 or dropped off at our office </w:t>
      </w:r>
      <w:r w:rsidR="00121BCC">
        <w:t xml:space="preserve">inside the Kentucky Music Hall of Fame at </w:t>
      </w:r>
      <w:r>
        <w:t>2590 Richmond Street, Mt. Vernon, KY</w:t>
      </w:r>
      <w:r w:rsidR="00121BCC">
        <w:t>.</w:t>
      </w:r>
    </w:p>
    <w:p w14:paraId="4B347F01" w14:textId="77777777" w:rsidR="00C6219F" w:rsidRDefault="00C6219F" w:rsidP="00C6219F">
      <w:pPr>
        <w:pStyle w:val="NoSpacing"/>
        <w:jc w:val="center"/>
        <w:rPr>
          <w:b/>
          <w:bCs/>
        </w:rPr>
      </w:pPr>
    </w:p>
    <w:p w14:paraId="6097C519" w14:textId="1E660758" w:rsidR="001146E3" w:rsidRDefault="001146E3" w:rsidP="00C6219F">
      <w:pPr>
        <w:pStyle w:val="NoSpacing"/>
        <w:jc w:val="center"/>
        <w:rPr>
          <w:b/>
          <w:bCs/>
        </w:rPr>
      </w:pPr>
      <w:r w:rsidRPr="001146E3">
        <w:rPr>
          <w:b/>
          <w:bCs/>
        </w:rPr>
        <w:t>COMPUTATION OF TAX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1796"/>
        <w:gridCol w:w="4312"/>
        <w:gridCol w:w="1253"/>
      </w:tblGrid>
      <w:tr w:rsidR="00121BCC" w14:paraId="616C069D" w14:textId="535ABBC4" w:rsidTr="00C6219F">
        <w:tc>
          <w:tcPr>
            <w:tcW w:w="520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C0BBC3" w14:textId="6EE6E360" w:rsidR="00121BCC" w:rsidRDefault="00121BCC" w:rsidP="001146E3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Personal Bookings and STR Platform Taxes</w:t>
            </w:r>
          </w:p>
        </w:tc>
        <w:tc>
          <w:tcPr>
            <w:tcW w:w="556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E22844" w14:textId="680AC9AD" w:rsidR="00121BCC" w:rsidRDefault="00121BCC" w:rsidP="001146E3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Short Term Rental Platform Paying Taxes on Host’s Behalf</w:t>
            </w:r>
          </w:p>
        </w:tc>
      </w:tr>
      <w:tr w:rsidR="00121BCC" w14:paraId="1B18BBCB" w14:textId="5AD68C6C" w:rsidTr="00C6219F">
        <w:tc>
          <w:tcPr>
            <w:tcW w:w="520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AFB200" w14:textId="77777777" w:rsidR="00121BCC" w:rsidRPr="001146E3" w:rsidRDefault="00121BCC" w:rsidP="001146E3">
            <w:pPr>
              <w:pStyle w:val="NoSpacing"/>
              <w:rPr>
                <w:sz w:val="22"/>
                <w:szCs w:val="22"/>
              </w:rPr>
            </w:pPr>
            <w:r w:rsidRPr="001146E3">
              <w:rPr>
                <w:sz w:val="22"/>
                <w:szCs w:val="22"/>
              </w:rPr>
              <w:t xml:space="preserve">List of All Platforms Used: </w:t>
            </w:r>
          </w:p>
          <w:p w14:paraId="0266585F" w14:textId="77777777" w:rsidR="00121BCC" w:rsidRPr="001146E3" w:rsidRDefault="00121BCC" w:rsidP="001146E3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556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DA27B12" w14:textId="77777777" w:rsidR="00121BCC" w:rsidRPr="001146E3" w:rsidRDefault="00121BCC" w:rsidP="001146E3">
            <w:pPr>
              <w:pStyle w:val="NoSpacing"/>
              <w:rPr>
                <w:sz w:val="22"/>
                <w:szCs w:val="22"/>
              </w:rPr>
            </w:pPr>
            <w:r w:rsidRPr="001146E3">
              <w:rPr>
                <w:sz w:val="22"/>
                <w:szCs w:val="22"/>
              </w:rPr>
              <w:t xml:space="preserve">List of All Platforms Used: </w:t>
            </w:r>
          </w:p>
          <w:p w14:paraId="4D582127" w14:textId="77777777" w:rsidR="00121BCC" w:rsidRPr="001146E3" w:rsidRDefault="00121BCC" w:rsidP="001146E3">
            <w:pPr>
              <w:pStyle w:val="NoSpacing"/>
              <w:rPr>
                <w:sz w:val="22"/>
                <w:szCs w:val="22"/>
              </w:rPr>
            </w:pPr>
          </w:p>
          <w:p w14:paraId="73D5F2C8" w14:textId="77777777" w:rsidR="00121BCC" w:rsidRPr="001146E3" w:rsidRDefault="00121BCC" w:rsidP="001146E3">
            <w:pPr>
              <w:pStyle w:val="NoSpacing"/>
              <w:rPr>
                <w:sz w:val="22"/>
                <w:szCs w:val="22"/>
              </w:rPr>
            </w:pPr>
          </w:p>
        </w:tc>
      </w:tr>
      <w:tr w:rsidR="00121BCC" w14:paraId="648A7698" w14:textId="428AC206" w:rsidTr="00C6219F">
        <w:tc>
          <w:tcPr>
            <w:tcW w:w="3409" w:type="dxa"/>
            <w:tcBorders>
              <w:left w:val="single" w:sz="12" w:space="0" w:color="auto"/>
            </w:tcBorders>
          </w:tcPr>
          <w:p w14:paraId="69BC26A8" w14:textId="42741E09" w:rsidR="00121BCC" w:rsidRPr="001146E3" w:rsidRDefault="00121BCC" w:rsidP="001146E3">
            <w:pPr>
              <w:pStyle w:val="NoSpacing"/>
              <w:rPr>
                <w:sz w:val="22"/>
                <w:szCs w:val="22"/>
              </w:rPr>
            </w:pPr>
            <w:r w:rsidRPr="001146E3">
              <w:rPr>
                <w:sz w:val="22"/>
                <w:szCs w:val="22"/>
              </w:rPr>
              <w:t>Total Rooms Available</w:t>
            </w:r>
            <w:r w:rsidRPr="001146E3">
              <w:rPr>
                <w:sz w:val="22"/>
                <w:szCs w:val="22"/>
              </w:rPr>
              <w:br/>
              <w:t>(# of rooms available x # days in reporting period)</w:t>
            </w:r>
          </w:p>
        </w:tc>
        <w:tc>
          <w:tcPr>
            <w:tcW w:w="1796" w:type="dxa"/>
            <w:tcBorders>
              <w:right w:val="single" w:sz="12" w:space="0" w:color="auto"/>
            </w:tcBorders>
          </w:tcPr>
          <w:p w14:paraId="62C086A8" w14:textId="488B69D0" w:rsidR="00121BCC" w:rsidRPr="001146E3" w:rsidRDefault="00121BCC" w:rsidP="001146E3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4312" w:type="dxa"/>
            <w:tcBorders>
              <w:left w:val="single" w:sz="12" w:space="0" w:color="auto"/>
            </w:tcBorders>
          </w:tcPr>
          <w:p w14:paraId="7223DAB6" w14:textId="483BA093" w:rsidR="00121BCC" w:rsidRPr="001146E3" w:rsidRDefault="00121BCC" w:rsidP="001146E3">
            <w:pPr>
              <w:pStyle w:val="NoSpacing"/>
              <w:rPr>
                <w:sz w:val="22"/>
                <w:szCs w:val="22"/>
              </w:rPr>
            </w:pPr>
            <w:r w:rsidRPr="001146E3">
              <w:rPr>
                <w:sz w:val="22"/>
                <w:szCs w:val="22"/>
              </w:rPr>
              <w:t>Total Rooms Available</w:t>
            </w:r>
            <w:r w:rsidRPr="001146E3">
              <w:rPr>
                <w:sz w:val="22"/>
                <w:szCs w:val="22"/>
              </w:rPr>
              <w:br/>
              <w:t>(# of rooms available x # days in reporting period)</w:t>
            </w:r>
          </w:p>
        </w:tc>
        <w:tc>
          <w:tcPr>
            <w:tcW w:w="1253" w:type="dxa"/>
            <w:tcBorders>
              <w:right w:val="single" w:sz="12" w:space="0" w:color="auto"/>
            </w:tcBorders>
          </w:tcPr>
          <w:p w14:paraId="6042367F" w14:textId="77777777" w:rsidR="00121BCC" w:rsidRPr="001146E3" w:rsidRDefault="00121BCC" w:rsidP="001146E3">
            <w:pPr>
              <w:pStyle w:val="NoSpacing"/>
              <w:rPr>
                <w:sz w:val="22"/>
                <w:szCs w:val="22"/>
              </w:rPr>
            </w:pPr>
          </w:p>
        </w:tc>
      </w:tr>
      <w:tr w:rsidR="00121BCC" w14:paraId="6D911028" w14:textId="67E88C2A" w:rsidTr="00C6219F">
        <w:tc>
          <w:tcPr>
            <w:tcW w:w="3409" w:type="dxa"/>
            <w:tcBorders>
              <w:left w:val="single" w:sz="12" w:space="0" w:color="auto"/>
            </w:tcBorders>
          </w:tcPr>
          <w:p w14:paraId="5343F34D" w14:textId="283B3DC8" w:rsidR="00121BCC" w:rsidRPr="001146E3" w:rsidRDefault="00121BCC" w:rsidP="00121BCC">
            <w:pPr>
              <w:pStyle w:val="NoSpacing"/>
              <w:rPr>
                <w:sz w:val="22"/>
                <w:szCs w:val="22"/>
              </w:rPr>
            </w:pPr>
            <w:r w:rsidRPr="001146E3">
              <w:rPr>
                <w:sz w:val="22"/>
                <w:szCs w:val="22"/>
              </w:rPr>
              <w:t xml:space="preserve">1 Gross Room Rental Revenue: </w:t>
            </w:r>
          </w:p>
        </w:tc>
        <w:tc>
          <w:tcPr>
            <w:tcW w:w="1796" w:type="dxa"/>
            <w:tcBorders>
              <w:right w:val="single" w:sz="12" w:space="0" w:color="auto"/>
            </w:tcBorders>
          </w:tcPr>
          <w:p w14:paraId="1EF99C70" w14:textId="27672E60" w:rsidR="00121BCC" w:rsidRPr="001146E3" w:rsidRDefault="00121BCC" w:rsidP="001146E3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</w:p>
        </w:tc>
        <w:tc>
          <w:tcPr>
            <w:tcW w:w="4312" w:type="dxa"/>
            <w:tcBorders>
              <w:left w:val="single" w:sz="12" w:space="0" w:color="auto"/>
            </w:tcBorders>
          </w:tcPr>
          <w:p w14:paraId="70D9C615" w14:textId="5C0098FD" w:rsidR="00121BCC" w:rsidRPr="001146E3" w:rsidRDefault="00121BCC" w:rsidP="00121BCC">
            <w:pPr>
              <w:pStyle w:val="NoSpacing"/>
              <w:rPr>
                <w:sz w:val="22"/>
                <w:szCs w:val="22"/>
              </w:rPr>
            </w:pPr>
            <w:r w:rsidRPr="001146E3">
              <w:rPr>
                <w:sz w:val="22"/>
                <w:szCs w:val="22"/>
              </w:rPr>
              <w:t>1 Gross Room Rental Revenue:</w:t>
            </w:r>
          </w:p>
        </w:tc>
        <w:tc>
          <w:tcPr>
            <w:tcW w:w="1253" w:type="dxa"/>
            <w:tcBorders>
              <w:right w:val="single" w:sz="12" w:space="0" w:color="auto"/>
            </w:tcBorders>
          </w:tcPr>
          <w:p w14:paraId="5F562583" w14:textId="442B869D" w:rsidR="00121BCC" w:rsidRPr="001146E3" w:rsidRDefault="00121BCC" w:rsidP="00121BCC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</w:p>
        </w:tc>
      </w:tr>
      <w:tr w:rsidR="00121BCC" w14:paraId="3595DE42" w14:textId="3A320BA2" w:rsidTr="00C6219F">
        <w:tc>
          <w:tcPr>
            <w:tcW w:w="3409" w:type="dxa"/>
            <w:tcBorders>
              <w:left w:val="single" w:sz="12" w:space="0" w:color="auto"/>
            </w:tcBorders>
          </w:tcPr>
          <w:p w14:paraId="1468A291" w14:textId="054FD761" w:rsidR="00121BCC" w:rsidRPr="001146E3" w:rsidRDefault="00121BCC" w:rsidP="00121BCC">
            <w:pPr>
              <w:pStyle w:val="NoSpacing"/>
              <w:rPr>
                <w:sz w:val="22"/>
                <w:szCs w:val="22"/>
              </w:rPr>
            </w:pPr>
            <w:r w:rsidRPr="001146E3">
              <w:rPr>
                <w:sz w:val="22"/>
                <w:szCs w:val="22"/>
              </w:rPr>
              <w:t xml:space="preserve">2 Tax (3% of Line 1)                        </w:t>
            </w:r>
          </w:p>
        </w:tc>
        <w:tc>
          <w:tcPr>
            <w:tcW w:w="1796" w:type="dxa"/>
            <w:tcBorders>
              <w:right w:val="single" w:sz="12" w:space="0" w:color="auto"/>
            </w:tcBorders>
          </w:tcPr>
          <w:p w14:paraId="5CE342A6" w14:textId="3C6ADC3C" w:rsidR="00121BCC" w:rsidRDefault="00121BCC" w:rsidP="001146E3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</w:p>
        </w:tc>
        <w:tc>
          <w:tcPr>
            <w:tcW w:w="4312" w:type="dxa"/>
            <w:tcBorders>
              <w:left w:val="single" w:sz="12" w:space="0" w:color="auto"/>
            </w:tcBorders>
          </w:tcPr>
          <w:p w14:paraId="0D3140F6" w14:textId="3E34A08D" w:rsidR="00121BCC" w:rsidRPr="001146E3" w:rsidRDefault="00121BCC" w:rsidP="001146E3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Total Transient Paid by STR Platform</w:t>
            </w:r>
          </w:p>
        </w:tc>
        <w:tc>
          <w:tcPr>
            <w:tcW w:w="1253" w:type="dxa"/>
            <w:tcBorders>
              <w:right w:val="single" w:sz="12" w:space="0" w:color="auto"/>
            </w:tcBorders>
          </w:tcPr>
          <w:p w14:paraId="2CF52071" w14:textId="54D8147E" w:rsidR="00121BCC" w:rsidRDefault="00121BCC" w:rsidP="001146E3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</w:p>
        </w:tc>
      </w:tr>
      <w:tr w:rsidR="00121BCC" w14:paraId="71BCFF98" w14:textId="43974416" w:rsidTr="00C6219F">
        <w:tc>
          <w:tcPr>
            <w:tcW w:w="3409" w:type="dxa"/>
            <w:tcBorders>
              <w:left w:val="single" w:sz="12" w:space="0" w:color="auto"/>
            </w:tcBorders>
          </w:tcPr>
          <w:p w14:paraId="57B20294" w14:textId="3723C38C" w:rsidR="00121BCC" w:rsidRPr="001146E3" w:rsidRDefault="00121BCC" w:rsidP="00121BCC">
            <w:pPr>
              <w:pStyle w:val="NoSpacing"/>
              <w:rPr>
                <w:sz w:val="22"/>
                <w:szCs w:val="22"/>
              </w:rPr>
            </w:pPr>
            <w:r w:rsidRPr="001146E3">
              <w:rPr>
                <w:sz w:val="22"/>
                <w:szCs w:val="22"/>
              </w:rPr>
              <w:t>3 Penalty (</w:t>
            </w:r>
            <w:r>
              <w:rPr>
                <w:sz w:val="22"/>
                <w:szCs w:val="22"/>
              </w:rPr>
              <w:t>10</w:t>
            </w:r>
            <w:r w:rsidRPr="001146E3">
              <w:rPr>
                <w:sz w:val="22"/>
                <w:szCs w:val="22"/>
              </w:rPr>
              <w:t xml:space="preserve">% if late)                   </w:t>
            </w:r>
          </w:p>
        </w:tc>
        <w:tc>
          <w:tcPr>
            <w:tcW w:w="1796" w:type="dxa"/>
            <w:tcBorders>
              <w:right w:val="single" w:sz="12" w:space="0" w:color="auto"/>
            </w:tcBorders>
          </w:tcPr>
          <w:p w14:paraId="283D7152" w14:textId="6A8FCEF3" w:rsidR="00121BCC" w:rsidRPr="001146E3" w:rsidRDefault="00121BCC" w:rsidP="001146E3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</w:p>
        </w:tc>
        <w:tc>
          <w:tcPr>
            <w:tcW w:w="4312" w:type="dxa"/>
            <w:tcBorders>
              <w:left w:val="single" w:sz="12" w:space="0" w:color="auto"/>
            </w:tcBorders>
          </w:tcPr>
          <w:p w14:paraId="6319D994" w14:textId="70813790" w:rsidR="00121BCC" w:rsidRPr="001146E3" w:rsidRDefault="00121BCC" w:rsidP="001146E3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253" w:type="dxa"/>
            <w:tcBorders>
              <w:right w:val="single" w:sz="12" w:space="0" w:color="auto"/>
            </w:tcBorders>
          </w:tcPr>
          <w:p w14:paraId="1D1BCEE5" w14:textId="77777777" w:rsidR="00121BCC" w:rsidRPr="001146E3" w:rsidRDefault="00121BCC" w:rsidP="001146E3">
            <w:pPr>
              <w:pStyle w:val="NoSpacing"/>
              <w:rPr>
                <w:sz w:val="22"/>
                <w:szCs w:val="22"/>
              </w:rPr>
            </w:pPr>
          </w:p>
        </w:tc>
      </w:tr>
      <w:tr w:rsidR="00121BCC" w14:paraId="4AE51F6E" w14:textId="4EF02728" w:rsidTr="00C6219F">
        <w:tc>
          <w:tcPr>
            <w:tcW w:w="3409" w:type="dxa"/>
            <w:tcBorders>
              <w:left w:val="single" w:sz="12" w:space="0" w:color="auto"/>
            </w:tcBorders>
          </w:tcPr>
          <w:p w14:paraId="1E949704" w14:textId="5FF28B42" w:rsidR="00121BCC" w:rsidRPr="001146E3" w:rsidRDefault="00121BCC" w:rsidP="00121BCC">
            <w:pPr>
              <w:pStyle w:val="NoSpacing"/>
              <w:rPr>
                <w:sz w:val="22"/>
                <w:szCs w:val="22"/>
              </w:rPr>
            </w:pPr>
            <w:r w:rsidRPr="001146E3">
              <w:rPr>
                <w:sz w:val="22"/>
                <w:szCs w:val="22"/>
              </w:rPr>
              <w:t>4 Interest (</w:t>
            </w:r>
            <w:r>
              <w:rPr>
                <w:sz w:val="22"/>
                <w:szCs w:val="22"/>
              </w:rPr>
              <w:t>8</w:t>
            </w:r>
            <w:r w:rsidRPr="001146E3">
              <w:rPr>
                <w:sz w:val="22"/>
                <w:szCs w:val="22"/>
              </w:rPr>
              <w:t xml:space="preserve">% per month)          </w:t>
            </w:r>
          </w:p>
        </w:tc>
        <w:tc>
          <w:tcPr>
            <w:tcW w:w="1796" w:type="dxa"/>
            <w:tcBorders>
              <w:right w:val="single" w:sz="12" w:space="0" w:color="auto"/>
            </w:tcBorders>
          </w:tcPr>
          <w:p w14:paraId="62A18BD5" w14:textId="2A03225C" w:rsidR="00121BCC" w:rsidRPr="001146E3" w:rsidRDefault="00121BCC" w:rsidP="001146E3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</w:p>
        </w:tc>
        <w:tc>
          <w:tcPr>
            <w:tcW w:w="4312" w:type="dxa"/>
            <w:tcBorders>
              <w:left w:val="single" w:sz="12" w:space="0" w:color="auto"/>
            </w:tcBorders>
          </w:tcPr>
          <w:p w14:paraId="45723EEF" w14:textId="0029E778" w:rsidR="00121BCC" w:rsidRPr="001146E3" w:rsidRDefault="00121BCC" w:rsidP="001146E3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253" w:type="dxa"/>
            <w:tcBorders>
              <w:right w:val="single" w:sz="12" w:space="0" w:color="auto"/>
            </w:tcBorders>
          </w:tcPr>
          <w:p w14:paraId="6E1B04B7" w14:textId="77777777" w:rsidR="00121BCC" w:rsidRPr="001146E3" w:rsidRDefault="00121BCC" w:rsidP="001146E3">
            <w:pPr>
              <w:pStyle w:val="NoSpacing"/>
              <w:rPr>
                <w:sz w:val="22"/>
                <w:szCs w:val="22"/>
              </w:rPr>
            </w:pPr>
          </w:p>
        </w:tc>
      </w:tr>
      <w:tr w:rsidR="00121BCC" w14:paraId="134AD0BE" w14:textId="0E01281C" w:rsidTr="00C6219F">
        <w:tc>
          <w:tcPr>
            <w:tcW w:w="3409" w:type="dxa"/>
            <w:tcBorders>
              <w:left w:val="single" w:sz="12" w:space="0" w:color="auto"/>
              <w:bottom w:val="single" w:sz="12" w:space="0" w:color="auto"/>
            </w:tcBorders>
          </w:tcPr>
          <w:p w14:paraId="15F49A9D" w14:textId="56684946" w:rsidR="00121BCC" w:rsidRPr="001146E3" w:rsidRDefault="00121BCC" w:rsidP="001146E3">
            <w:pPr>
              <w:pStyle w:val="NoSpacing"/>
              <w:rPr>
                <w:sz w:val="22"/>
                <w:szCs w:val="22"/>
              </w:rPr>
            </w:pPr>
            <w:r w:rsidRPr="001146E3">
              <w:rPr>
                <w:sz w:val="22"/>
                <w:szCs w:val="22"/>
              </w:rPr>
              <w:t xml:space="preserve">5 TOTAL TRANSIENT TAX DUE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6" w:type="dxa"/>
            <w:tcBorders>
              <w:bottom w:val="single" w:sz="12" w:space="0" w:color="auto"/>
              <w:right w:val="single" w:sz="12" w:space="0" w:color="auto"/>
            </w:tcBorders>
          </w:tcPr>
          <w:p w14:paraId="6FEFE84A" w14:textId="7A4BEB56" w:rsidR="00121BCC" w:rsidRPr="001146E3" w:rsidRDefault="00121BCC" w:rsidP="001146E3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</w:p>
        </w:tc>
        <w:tc>
          <w:tcPr>
            <w:tcW w:w="4312" w:type="dxa"/>
            <w:tcBorders>
              <w:left w:val="single" w:sz="12" w:space="0" w:color="auto"/>
              <w:bottom w:val="single" w:sz="12" w:space="0" w:color="auto"/>
            </w:tcBorders>
          </w:tcPr>
          <w:p w14:paraId="63DC3E31" w14:textId="77777777" w:rsidR="00121BCC" w:rsidRPr="001146E3" w:rsidRDefault="00121BCC" w:rsidP="001146E3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253" w:type="dxa"/>
            <w:tcBorders>
              <w:bottom w:val="single" w:sz="12" w:space="0" w:color="auto"/>
              <w:right w:val="single" w:sz="12" w:space="0" w:color="auto"/>
            </w:tcBorders>
          </w:tcPr>
          <w:p w14:paraId="5D6C6CE6" w14:textId="77777777" w:rsidR="00121BCC" w:rsidRPr="001146E3" w:rsidRDefault="00121BCC" w:rsidP="001146E3">
            <w:pPr>
              <w:pStyle w:val="NoSpacing"/>
              <w:rPr>
                <w:sz w:val="22"/>
                <w:szCs w:val="22"/>
              </w:rPr>
            </w:pPr>
          </w:p>
        </w:tc>
      </w:tr>
    </w:tbl>
    <w:p w14:paraId="05C79E52" w14:textId="56720C46" w:rsidR="001146E3" w:rsidRDefault="001146E3" w:rsidP="001146E3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 I hereby certify that the statement made herein and in any supporting schedules are true, correct, and complete to the best of my knowledge.</w:t>
      </w:r>
    </w:p>
    <w:p w14:paraId="5DFCF62A" w14:textId="4C7C9767" w:rsidR="001146E3" w:rsidRPr="001146E3" w:rsidRDefault="001146E3" w:rsidP="001146E3">
      <w:pPr>
        <w:pStyle w:val="NoSpacing"/>
        <w:rPr>
          <w:b/>
          <w:bCs/>
        </w:rPr>
      </w:pPr>
      <w:r>
        <w:rPr>
          <w:b/>
          <w:bCs/>
        </w:rPr>
        <w:t>Signature ____________________________</w:t>
      </w:r>
      <w:r>
        <w:rPr>
          <w:b/>
          <w:bCs/>
        </w:rPr>
        <w:tab/>
        <w:t>Date ________________   Official Title: _______________________</w:t>
      </w:r>
    </w:p>
    <w:sectPr w:rsidR="001146E3" w:rsidRPr="001146E3" w:rsidSect="001146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226F6"/>
    <w:multiLevelType w:val="hybridMultilevel"/>
    <w:tmpl w:val="D952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56392"/>
    <w:multiLevelType w:val="hybridMultilevel"/>
    <w:tmpl w:val="422E3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B44A8"/>
    <w:multiLevelType w:val="hybridMultilevel"/>
    <w:tmpl w:val="5BC03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01791">
    <w:abstractNumId w:val="1"/>
  </w:num>
  <w:num w:numId="2" w16cid:durableId="1578903766">
    <w:abstractNumId w:val="2"/>
  </w:num>
  <w:num w:numId="3" w16cid:durableId="786856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6E3"/>
    <w:rsid w:val="001146E3"/>
    <w:rsid w:val="00121BCC"/>
    <w:rsid w:val="005D2F9A"/>
    <w:rsid w:val="008572C3"/>
    <w:rsid w:val="00904959"/>
    <w:rsid w:val="00A17B63"/>
    <w:rsid w:val="00C6219F"/>
    <w:rsid w:val="00EC320A"/>
    <w:rsid w:val="00F6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2EBAF"/>
  <w15:chartTrackingRefBased/>
  <w15:docId w15:val="{8BBC6A21-F079-4953-9FC3-649F70B0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4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6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6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6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6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6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6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6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6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6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4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4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4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46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46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46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6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46E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4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146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363</Words>
  <Characters>2302</Characters>
  <Application>Microsoft Office Word</Application>
  <DocSecurity>0</DocSecurity>
  <Lines>60</Lines>
  <Paragraphs>34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Kentucky Music Hall of Fame</dc:creator>
  <cp:keywords/>
  <dc:description/>
  <cp:lastModifiedBy>Kentucky Music Hall of Fame</cp:lastModifiedBy>
  <cp:revision>6</cp:revision>
  <dcterms:created xsi:type="dcterms:W3CDTF">2026-01-16T14:22:00Z</dcterms:created>
  <dcterms:modified xsi:type="dcterms:W3CDTF">2026-01-16T14:43:00Z</dcterms:modified>
</cp:coreProperties>
</file>